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0910F">
      <w:pPr>
        <w:spacing w:line="460" w:lineRule="exact"/>
        <w:rPr>
          <w:rFonts w:hint="default" w:ascii="宋体" w:hAnsi="宋体" w:cs="宋体"/>
          <w:b/>
          <w:sz w:val="32"/>
          <w:szCs w:val="32"/>
          <w:lang w:val="en-US" w:eastAsia="zh-CN"/>
        </w:rPr>
      </w:pPr>
      <w:r>
        <w:rPr>
          <w:rFonts w:hint="eastAsia" w:ascii="宋体" w:hAnsi="宋体" w:cs="宋体"/>
          <w:b/>
          <w:sz w:val="32"/>
          <w:szCs w:val="32"/>
          <w:lang w:val="en-US" w:eastAsia="zh-CN"/>
        </w:rPr>
        <w:t>附件6</w:t>
      </w:r>
    </w:p>
    <w:p w14:paraId="43F3B131">
      <w:pPr>
        <w:ind w:firstLine="1928" w:firstLineChars="600"/>
        <w:rPr>
          <w:rFonts w:hint="eastAsia"/>
          <w:b/>
          <w:sz w:val="32"/>
          <w:szCs w:val="32"/>
        </w:rPr>
      </w:pPr>
      <w:r>
        <w:rPr>
          <w:rFonts w:hint="eastAsia" w:ascii="宋体" w:hAnsi="宋体" w:cs="宋体"/>
          <w:b/>
          <w:sz w:val="32"/>
          <w:szCs w:val="32"/>
        </w:rPr>
        <w:t>拟签订的合同文本格式及条款</w:t>
      </w:r>
    </w:p>
    <w:p w14:paraId="606C825C">
      <w:pPr>
        <w:spacing w:line="460" w:lineRule="exact"/>
        <w:jc w:val="center"/>
        <w:rPr>
          <w:rFonts w:hint="eastAsia"/>
          <w:b/>
          <w:sz w:val="32"/>
        </w:rPr>
      </w:pPr>
    </w:p>
    <w:p w14:paraId="0A814DBF">
      <w:pPr>
        <w:spacing w:line="460" w:lineRule="exact"/>
        <w:rPr>
          <w:sz w:val="24"/>
          <w:u w:val="single"/>
        </w:rPr>
      </w:pPr>
      <w:r>
        <w:rPr>
          <w:rFonts w:hint="eastAsia"/>
          <w:sz w:val="24"/>
        </w:rPr>
        <w:t xml:space="preserve">委托方（甲方）： </w:t>
      </w:r>
      <w:r>
        <w:rPr>
          <w:rFonts w:hint="eastAsia"/>
          <w:sz w:val="24"/>
          <w:u w:val="single"/>
        </w:rPr>
        <w:t xml:space="preserve">                               </w:t>
      </w:r>
    </w:p>
    <w:p w14:paraId="2FE2849A">
      <w:pPr>
        <w:spacing w:line="460" w:lineRule="exact"/>
        <w:rPr>
          <w:rFonts w:hint="eastAsia"/>
          <w:b/>
          <w:sz w:val="24"/>
          <w:u w:val="single"/>
        </w:rPr>
      </w:pPr>
      <w:r>
        <w:rPr>
          <w:rFonts w:hint="eastAsia"/>
          <w:sz w:val="24"/>
        </w:rPr>
        <w:t xml:space="preserve">受托方（乙方）： </w:t>
      </w:r>
      <w:r>
        <w:rPr>
          <w:rFonts w:hint="eastAsia"/>
          <w:sz w:val="24"/>
          <w:u w:val="single"/>
        </w:rPr>
        <w:t xml:space="preserve">                               </w:t>
      </w:r>
    </w:p>
    <w:p w14:paraId="64296855">
      <w:pPr>
        <w:spacing w:line="460" w:lineRule="exact"/>
        <w:ind w:firstLine="420"/>
        <w:rPr>
          <w:rFonts w:hint="eastAsia"/>
          <w:sz w:val="24"/>
        </w:rPr>
      </w:pPr>
      <w:r>
        <w:rPr>
          <w:rFonts w:hint="eastAsia"/>
          <w:sz w:val="24"/>
        </w:rPr>
        <w:t>为明确双方的权利和义务，本着互惠互利的原则，特订立本合同，以便共同遵守。</w:t>
      </w:r>
    </w:p>
    <w:p w14:paraId="0C391C37">
      <w:pPr>
        <w:spacing w:line="460" w:lineRule="exact"/>
        <w:rPr>
          <w:rFonts w:hint="eastAsia"/>
          <w:b/>
          <w:sz w:val="24"/>
        </w:rPr>
      </w:pPr>
      <w:r>
        <w:rPr>
          <w:rFonts w:hint="eastAsia"/>
          <w:b/>
          <w:sz w:val="24"/>
        </w:rPr>
        <w:t>一、服务对象</w:t>
      </w:r>
    </w:p>
    <w:p w14:paraId="5F5F20CC">
      <w:pPr>
        <w:spacing w:line="400" w:lineRule="exact"/>
        <w:ind w:firstLine="480" w:firstLineChars="200"/>
        <w:rPr>
          <w:rFonts w:hint="eastAsia"/>
          <w:sz w:val="24"/>
        </w:rPr>
      </w:pPr>
      <w:r>
        <w:rPr>
          <w:rFonts w:hint="eastAsia"/>
          <w:sz w:val="24"/>
        </w:rPr>
        <w:t>委托方委托受托方对位于南通报业大厦顶层内的普英特擦窗机实施维护保养服务，具体</w:t>
      </w:r>
      <w:r>
        <w:rPr>
          <w:rFonts w:hint="eastAsia" w:ascii="宋体" w:hAnsi="宋体" w:cs="宋体"/>
          <w:sz w:val="24"/>
        </w:rPr>
        <w:t>包括擦窗机1台、轨道行走装置1套、台车1套（卷扬机、电机、减速器、大臂升缩装置、安全装置）、控制装置1套（控制盘、操作盘）。</w:t>
      </w:r>
    </w:p>
    <w:p w14:paraId="1FA2B474">
      <w:pPr>
        <w:spacing w:line="400" w:lineRule="exact"/>
        <w:rPr>
          <w:rFonts w:hint="eastAsia"/>
          <w:b/>
          <w:sz w:val="24"/>
        </w:rPr>
      </w:pPr>
      <w:r>
        <w:rPr>
          <w:rFonts w:hint="eastAsia"/>
          <w:b/>
          <w:sz w:val="24"/>
        </w:rPr>
        <w:t>二、服务期限</w:t>
      </w:r>
    </w:p>
    <w:p w14:paraId="2FEA03D5">
      <w:pPr>
        <w:spacing w:line="400" w:lineRule="exact"/>
        <w:ind w:left="420"/>
        <w:rPr>
          <w:rFonts w:hint="eastAsia"/>
          <w:sz w:val="24"/>
        </w:rPr>
      </w:pPr>
      <w:r>
        <w:rPr>
          <w:rFonts w:hint="eastAsia"/>
          <w:sz w:val="24"/>
        </w:rPr>
        <w:t>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日起至</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0B0BD7F1">
      <w:pPr>
        <w:spacing w:line="400" w:lineRule="exact"/>
        <w:rPr>
          <w:rFonts w:hint="eastAsia"/>
          <w:b/>
          <w:sz w:val="24"/>
        </w:rPr>
      </w:pPr>
      <w:r>
        <w:rPr>
          <w:rFonts w:hint="eastAsia"/>
          <w:b/>
          <w:sz w:val="24"/>
        </w:rPr>
        <w:t>三、服务内容及双方责任</w:t>
      </w:r>
    </w:p>
    <w:p w14:paraId="1EFB73FF">
      <w:pPr>
        <w:spacing w:line="400" w:lineRule="exact"/>
        <w:ind w:left="420"/>
        <w:rPr>
          <w:rFonts w:hint="eastAsia"/>
          <w:sz w:val="24"/>
        </w:rPr>
      </w:pPr>
      <w:r>
        <w:rPr>
          <w:rFonts w:hint="eastAsia"/>
          <w:sz w:val="24"/>
        </w:rPr>
        <w:t>3.1 受托方的责任</w:t>
      </w:r>
    </w:p>
    <w:p w14:paraId="0F8E2C94">
      <w:pPr>
        <w:spacing w:line="400" w:lineRule="exact"/>
        <w:ind w:left="225" w:leftChars="107" w:right="-208" w:rightChars="-99" w:firstLine="220" w:firstLineChars="92"/>
        <w:rPr>
          <w:rFonts w:hint="eastAsia"/>
          <w:sz w:val="24"/>
        </w:rPr>
      </w:pPr>
      <w:r>
        <w:rPr>
          <w:rFonts w:hint="eastAsia"/>
          <w:sz w:val="24"/>
        </w:rPr>
        <w:t>3.1.1提供每年</w:t>
      </w:r>
      <w:r>
        <w:rPr>
          <w:rFonts w:hint="eastAsia" w:ascii="宋体" w:hAnsi="宋体" w:cs="宋体"/>
          <w:bCs/>
          <w:sz w:val="24"/>
          <w:lang w:val="en-US" w:eastAsia="zh-CN"/>
        </w:rPr>
        <w:t>6</w:t>
      </w:r>
      <w:r>
        <w:rPr>
          <w:rFonts w:hint="eastAsia"/>
          <w:sz w:val="24"/>
        </w:rPr>
        <w:t>次维修保养，每</w:t>
      </w:r>
      <w:r>
        <w:rPr>
          <w:rFonts w:hint="eastAsia"/>
          <w:sz w:val="24"/>
          <w:lang w:val="en-US" w:eastAsia="zh-CN"/>
        </w:rPr>
        <w:t>2</w:t>
      </w:r>
      <w:r>
        <w:rPr>
          <w:rFonts w:hint="eastAsia"/>
          <w:sz w:val="24"/>
        </w:rPr>
        <w:t>月次保养时间一般为2人</w:t>
      </w:r>
      <w:r>
        <w:rPr>
          <w:sz w:val="24"/>
        </w:rPr>
        <w:sym w:font="Symbol" w:char="F0B4"/>
      </w:r>
      <w:r>
        <w:rPr>
          <w:rFonts w:hint="eastAsia"/>
          <w:sz w:val="24"/>
        </w:rPr>
        <w:t>1天。内容以功能检查为主，以确保设备安全性和可靠性，包括：各安全限位开关及安全机构的动作功能，各传动系统的传动可靠性检查、加注润滑等工作。具体检查项目见附表《擦窗机维护、保养检查表》。</w:t>
      </w:r>
    </w:p>
    <w:p w14:paraId="500B0CED">
      <w:pPr>
        <w:spacing w:line="400" w:lineRule="exact"/>
        <w:ind w:left="1020" w:leftChars="200" w:hanging="600" w:hangingChars="250"/>
        <w:rPr>
          <w:rFonts w:hint="eastAsia"/>
          <w:sz w:val="24"/>
        </w:rPr>
      </w:pPr>
      <w:r>
        <w:rPr>
          <w:rFonts w:hint="eastAsia"/>
          <w:sz w:val="24"/>
        </w:rPr>
        <w:t>3.1.2年度最后1次检修时间一般为：3人</w:t>
      </w:r>
      <w:r>
        <w:rPr>
          <w:sz w:val="24"/>
        </w:rPr>
        <w:sym w:font="Symbol" w:char="F0B4"/>
      </w:r>
      <w:r>
        <w:rPr>
          <w:rFonts w:hint="eastAsia"/>
          <w:sz w:val="24"/>
        </w:rPr>
        <w:t>1天，主要检查内容为：</w:t>
      </w:r>
    </w:p>
    <w:p w14:paraId="0A6A3136">
      <w:pPr>
        <w:spacing w:line="400" w:lineRule="exact"/>
        <w:ind w:firstLine="480" w:firstLineChars="200"/>
        <w:rPr>
          <w:rFonts w:hint="eastAsia"/>
          <w:sz w:val="24"/>
        </w:rPr>
      </w:pPr>
      <w:r>
        <w:rPr>
          <w:rFonts w:hint="eastAsia"/>
          <w:sz w:val="24"/>
        </w:rPr>
        <w:t>1）对设备长期运行后产生的偏差进行调校；</w:t>
      </w:r>
    </w:p>
    <w:p w14:paraId="6A13D45E">
      <w:pPr>
        <w:spacing w:line="400" w:lineRule="exact"/>
        <w:ind w:firstLine="480" w:firstLineChars="200"/>
        <w:rPr>
          <w:rFonts w:hint="eastAsia"/>
          <w:sz w:val="24"/>
        </w:rPr>
      </w:pPr>
      <w:r>
        <w:rPr>
          <w:rFonts w:hint="eastAsia"/>
          <w:sz w:val="24"/>
        </w:rPr>
        <w:t>2）对电气元器件的功能进行检查；</w:t>
      </w:r>
    </w:p>
    <w:p w14:paraId="513A3BFC">
      <w:pPr>
        <w:spacing w:line="400" w:lineRule="exact"/>
        <w:ind w:firstLine="480" w:firstLineChars="200"/>
        <w:rPr>
          <w:rFonts w:hint="eastAsia"/>
          <w:sz w:val="24"/>
        </w:rPr>
      </w:pPr>
      <w:r>
        <w:rPr>
          <w:rFonts w:hint="eastAsia"/>
          <w:sz w:val="24"/>
        </w:rPr>
        <w:t>3）检查设备润滑状态及防腐状态，并予以必要的补充或修补措施；</w:t>
      </w:r>
    </w:p>
    <w:p w14:paraId="2A00A282">
      <w:pPr>
        <w:spacing w:line="400" w:lineRule="exact"/>
        <w:ind w:firstLine="480" w:firstLineChars="200"/>
        <w:rPr>
          <w:rFonts w:hint="eastAsia"/>
          <w:sz w:val="24"/>
        </w:rPr>
      </w:pPr>
      <w:r>
        <w:rPr>
          <w:rFonts w:hint="eastAsia"/>
          <w:sz w:val="24"/>
        </w:rPr>
        <w:t>4）检查并修补设备涂装；</w:t>
      </w:r>
    </w:p>
    <w:p w14:paraId="60D07DA4">
      <w:pPr>
        <w:spacing w:line="400" w:lineRule="exact"/>
        <w:ind w:firstLine="480" w:firstLineChars="200"/>
        <w:rPr>
          <w:rFonts w:hint="eastAsia"/>
          <w:sz w:val="24"/>
        </w:rPr>
      </w:pPr>
      <w:r>
        <w:rPr>
          <w:rFonts w:hint="eastAsia"/>
          <w:sz w:val="24"/>
        </w:rPr>
        <w:t>5）检测电气绝缘；</w:t>
      </w:r>
    </w:p>
    <w:p w14:paraId="07C6F4E9">
      <w:pPr>
        <w:spacing w:line="400" w:lineRule="exact"/>
        <w:ind w:firstLine="480" w:firstLineChars="200"/>
        <w:rPr>
          <w:rFonts w:hint="eastAsia"/>
          <w:sz w:val="24"/>
        </w:rPr>
      </w:pPr>
      <w:r>
        <w:rPr>
          <w:rFonts w:hint="eastAsia"/>
          <w:sz w:val="24"/>
        </w:rPr>
        <w:t>6）检查并调整回转极限，吊篮工作范围极限。</w:t>
      </w:r>
    </w:p>
    <w:p w14:paraId="0DE01322">
      <w:pPr>
        <w:spacing w:line="400" w:lineRule="exact"/>
        <w:ind w:firstLine="480" w:firstLineChars="200"/>
        <w:rPr>
          <w:rFonts w:hint="eastAsia"/>
          <w:sz w:val="24"/>
        </w:rPr>
      </w:pPr>
      <w:r>
        <w:rPr>
          <w:rFonts w:hint="eastAsia"/>
          <w:sz w:val="24"/>
        </w:rPr>
        <w:t>7）电动机制动器设定值。</w:t>
      </w:r>
    </w:p>
    <w:p w14:paraId="161B42FE">
      <w:pPr>
        <w:spacing w:line="400" w:lineRule="exact"/>
        <w:ind w:left="225" w:leftChars="107" w:firstLine="220" w:firstLineChars="92"/>
        <w:rPr>
          <w:rFonts w:hint="eastAsia"/>
          <w:sz w:val="24"/>
        </w:rPr>
      </w:pPr>
      <w:r>
        <w:rPr>
          <w:rFonts w:hint="eastAsia"/>
          <w:sz w:val="24"/>
        </w:rPr>
        <w:t>3.1.3当保养中发现的安全隐患、故障应立即排除，并同时书面通知委托方，否则将被视为受托方违约。</w:t>
      </w:r>
    </w:p>
    <w:p w14:paraId="65013C7C">
      <w:pPr>
        <w:spacing w:line="400" w:lineRule="exact"/>
        <w:ind w:left="204" w:leftChars="97" w:firstLine="244" w:firstLineChars="102"/>
        <w:rPr>
          <w:rFonts w:hint="eastAsia"/>
          <w:sz w:val="24"/>
        </w:rPr>
      </w:pPr>
      <w:r>
        <w:rPr>
          <w:rFonts w:hint="eastAsia"/>
          <w:sz w:val="24"/>
        </w:rPr>
        <w:t>3.1.4根据委托方需要委托政府有关部门对擦窗机设备办理年度安全检验证书《关于擦窗机安全性能的检测报告》。</w:t>
      </w:r>
    </w:p>
    <w:p w14:paraId="26FFD19C">
      <w:pPr>
        <w:spacing w:line="400" w:lineRule="exact"/>
        <w:ind w:left="200" w:firstLine="249" w:firstLineChars="104"/>
        <w:rPr>
          <w:rFonts w:hint="eastAsia"/>
          <w:sz w:val="24"/>
        </w:rPr>
      </w:pPr>
      <w:r>
        <w:rPr>
          <w:rFonts w:hint="eastAsia"/>
          <w:sz w:val="24"/>
        </w:rPr>
        <w:t>3.1.5受托方在接到故障报告后24小时内派员到场检查并作相应的维修、调校以排除故障。</w:t>
      </w:r>
    </w:p>
    <w:p w14:paraId="7ED3C400">
      <w:pPr>
        <w:spacing w:line="400" w:lineRule="exact"/>
        <w:ind w:left="420"/>
        <w:rPr>
          <w:rFonts w:hint="eastAsia"/>
          <w:sz w:val="24"/>
        </w:rPr>
      </w:pPr>
      <w:r>
        <w:rPr>
          <w:rFonts w:hint="eastAsia"/>
          <w:sz w:val="24"/>
        </w:rPr>
        <w:t>3.1.6根据委托方要求提供紧急维修服务（一般情况下为接到紧急故障报告后3小时左右到场）。</w:t>
      </w:r>
    </w:p>
    <w:p w14:paraId="05C3C41F">
      <w:pPr>
        <w:spacing w:line="400" w:lineRule="exact"/>
        <w:ind w:left="105" w:leftChars="50" w:firstLine="360" w:firstLineChars="150"/>
        <w:rPr>
          <w:rFonts w:hint="eastAsia"/>
          <w:sz w:val="24"/>
        </w:rPr>
      </w:pPr>
      <w:r>
        <w:rPr>
          <w:rFonts w:hint="eastAsia"/>
          <w:sz w:val="24"/>
        </w:rPr>
        <w:t>3.1.7受托方应负责为其派出的维修保养人员办理相关意外险，并负责其工作人员的安全管理。受托方维修人员进入委托方现场应遵守委托方各项规章制度。</w:t>
      </w:r>
    </w:p>
    <w:p w14:paraId="42A5F701">
      <w:pPr>
        <w:spacing w:line="400" w:lineRule="exact"/>
        <w:ind w:left="225" w:leftChars="107" w:firstLine="218" w:firstLineChars="91"/>
        <w:rPr>
          <w:rFonts w:hint="eastAsia"/>
          <w:sz w:val="24"/>
        </w:rPr>
      </w:pPr>
      <w:r>
        <w:rPr>
          <w:rFonts w:hint="eastAsia"/>
          <w:sz w:val="24"/>
        </w:rPr>
        <w:t>3.1.8受托方支付设备保养所需易耗零部件和元器件之成本费，更换时应先征得委托方同意。如需更换大型备件如电动机、减速器等也应先征得委托方同意，并由受托方以最优惠价格提供给委托方，并附原厂发票、报关文件等。</w:t>
      </w:r>
    </w:p>
    <w:p w14:paraId="735649B1">
      <w:pPr>
        <w:spacing w:line="400" w:lineRule="exact"/>
        <w:ind w:left="199" w:leftChars="95" w:firstLine="367" w:firstLineChars="153"/>
        <w:rPr>
          <w:rFonts w:hint="eastAsia"/>
          <w:sz w:val="24"/>
        </w:rPr>
      </w:pPr>
      <w:r>
        <w:rPr>
          <w:rFonts w:hint="eastAsia"/>
          <w:sz w:val="24"/>
        </w:rPr>
        <w:t>3.1.9如属委托方使用该设备进行重要工作或有重大活动，受托方应根据委托方的要求派员确保系统的正常运行，避免出现异常情况。</w:t>
      </w:r>
    </w:p>
    <w:p w14:paraId="22387AD3">
      <w:pPr>
        <w:spacing w:line="400" w:lineRule="exact"/>
        <w:ind w:left="315" w:leftChars="150" w:firstLine="120" w:firstLineChars="50"/>
        <w:rPr>
          <w:rFonts w:hint="eastAsia"/>
          <w:sz w:val="24"/>
        </w:rPr>
      </w:pPr>
      <w:r>
        <w:rPr>
          <w:rFonts w:hint="eastAsia"/>
          <w:sz w:val="24"/>
        </w:rPr>
        <w:t>3.1.10当发现或发生非保养责任事故时，应及时书面通知委托方整改。当事故严重影响设备安全运行的，有权通知委托方停止使用该设备。</w:t>
      </w:r>
    </w:p>
    <w:p w14:paraId="51335BD6">
      <w:pPr>
        <w:numPr>
          <w:ilvl w:val="1"/>
          <w:numId w:val="1"/>
        </w:numPr>
        <w:spacing w:line="400" w:lineRule="exact"/>
        <w:rPr>
          <w:rFonts w:hint="eastAsia"/>
          <w:sz w:val="24"/>
        </w:rPr>
      </w:pPr>
      <w:r>
        <w:rPr>
          <w:rFonts w:hint="eastAsia"/>
          <w:sz w:val="24"/>
        </w:rPr>
        <w:t xml:space="preserve"> 委托方责任</w:t>
      </w:r>
    </w:p>
    <w:p w14:paraId="059768C8">
      <w:pPr>
        <w:spacing w:line="400" w:lineRule="exact"/>
        <w:ind w:left="309" w:leftChars="147" w:firstLine="120" w:firstLineChars="50"/>
        <w:rPr>
          <w:rFonts w:hint="eastAsia"/>
          <w:sz w:val="24"/>
        </w:rPr>
      </w:pPr>
      <w:r>
        <w:rPr>
          <w:rFonts w:hint="eastAsia"/>
          <w:sz w:val="24"/>
        </w:rPr>
        <w:t>3.2.1委托方指定的操作人员必须持有相关监管部门颁发的吊篮上岗证，经受托方设备操作培训，并能按照操作维护手册的要求进行操作。</w:t>
      </w:r>
    </w:p>
    <w:p w14:paraId="1A60A409">
      <w:pPr>
        <w:spacing w:line="400" w:lineRule="exact"/>
        <w:ind w:left="420"/>
        <w:rPr>
          <w:rFonts w:hint="eastAsia"/>
          <w:sz w:val="24"/>
        </w:rPr>
      </w:pPr>
      <w:r>
        <w:rPr>
          <w:rFonts w:hint="eastAsia"/>
          <w:sz w:val="24"/>
        </w:rPr>
        <w:t>3.2.2委托方向受托方提供维修保养所需的场地、电源等设施。</w:t>
      </w:r>
    </w:p>
    <w:p w14:paraId="1C78664C">
      <w:pPr>
        <w:spacing w:line="400" w:lineRule="exact"/>
        <w:ind w:left="420"/>
        <w:rPr>
          <w:rFonts w:hint="eastAsia"/>
          <w:sz w:val="24"/>
        </w:rPr>
      </w:pPr>
      <w:r>
        <w:rPr>
          <w:rFonts w:hint="eastAsia"/>
          <w:sz w:val="24"/>
        </w:rPr>
        <w:t>3.2.3负责设备日常管理，对受托方的服务质量和服务项目进行考查和确认。</w:t>
      </w:r>
    </w:p>
    <w:p w14:paraId="48CF8156">
      <w:pPr>
        <w:spacing w:line="400" w:lineRule="exact"/>
        <w:ind w:left="420"/>
        <w:rPr>
          <w:rFonts w:hint="eastAsia"/>
          <w:sz w:val="24"/>
        </w:rPr>
      </w:pPr>
      <w:r>
        <w:rPr>
          <w:rFonts w:hint="eastAsia"/>
          <w:sz w:val="24"/>
        </w:rPr>
        <w:t>3.2.4保养时，给予受托方合理充分的停运时间并协助设置受托方提供的现场安全警示标志。</w:t>
      </w:r>
    </w:p>
    <w:p w14:paraId="55525A33">
      <w:pPr>
        <w:spacing w:line="400" w:lineRule="exact"/>
        <w:rPr>
          <w:rFonts w:hint="eastAsia"/>
          <w:b/>
          <w:bCs/>
          <w:sz w:val="24"/>
        </w:rPr>
      </w:pPr>
      <w:r>
        <w:rPr>
          <w:rFonts w:hint="eastAsia"/>
          <w:b/>
          <w:bCs/>
          <w:sz w:val="24"/>
        </w:rPr>
        <w:t>四 服务费用</w:t>
      </w:r>
    </w:p>
    <w:p w14:paraId="2424AFEE">
      <w:pPr>
        <w:spacing w:line="400" w:lineRule="exact"/>
        <w:ind w:firstLine="480" w:firstLineChars="200"/>
        <w:rPr>
          <w:rFonts w:hint="eastAsia"/>
          <w:sz w:val="24"/>
        </w:rPr>
      </w:pPr>
      <w:r>
        <w:rPr>
          <w:rFonts w:hint="eastAsia"/>
          <w:sz w:val="24"/>
        </w:rPr>
        <w:t>4.1维护保养服务费总额为</w:t>
      </w:r>
      <w:r>
        <w:rPr>
          <w:sz w:val="24"/>
          <w:u w:val="single"/>
        </w:rPr>
        <w:t xml:space="preserve"> </w:t>
      </w:r>
      <w:r>
        <w:rPr>
          <w:rFonts w:hint="eastAsia"/>
          <w:b/>
          <w:sz w:val="24"/>
          <w:u w:val="single"/>
        </w:rPr>
        <w:t xml:space="preserve">         </w:t>
      </w:r>
      <w:r>
        <w:rPr>
          <w:rFonts w:hint="eastAsia"/>
          <w:sz w:val="24"/>
          <w:u w:val="single"/>
        </w:rPr>
        <w:t xml:space="preserve">     </w:t>
      </w:r>
      <w:r>
        <w:rPr>
          <w:rFonts w:hint="eastAsia"/>
          <w:sz w:val="24"/>
        </w:rPr>
        <w:t>元/年（含年检费）</w:t>
      </w:r>
    </w:p>
    <w:p w14:paraId="1F20EF68">
      <w:pPr>
        <w:widowControl/>
        <w:spacing w:line="360" w:lineRule="auto"/>
        <w:ind w:right="344" w:rightChars="164"/>
        <w:jc w:val="left"/>
        <w:rPr>
          <w:rFonts w:ascii="宋体" w:hAnsi="宋体"/>
          <w:b/>
          <w:sz w:val="24"/>
        </w:rPr>
      </w:pPr>
      <w:r>
        <w:rPr>
          <w:rFonts w:hint="eastAsia"/>
          <w:b/>
          <w:bCs/>
          <w:sz w:val="24"/>
        </w:rPr>
        <w:t xml:space="preserve">五 </w:t>
      </w:r>
      <w:r>
        <w:rPr>
          <w:rFonts w:hint="eastAsia" w:ascii="宋体" w:hAnsi="宋体"/>
          <w:b/>
          <w:sz w:val="24"/>
        </w:rPr>
        <w:t>合同价格及付款方式</w:t>
      </w:r>
    </w:p>
    <w:p w14:paraId="7CABB143">
      <w:pPr>
        <w:spacing w:line="360" w:lineRule="auto"/>
        <w:ind w:right="344" w:rightChars="164" w:firstLine="567"/>
        <w:rPr>
          <w:rFonts w:hint="eastAsia" w:ascii="宋体" w:hAnsi="宋体"/>
          <w:sz w:val="24"/>
        </w:rPr>
      </w:pPr>
      <w:r>
        <w:rPr>
          <w:rFonts w:hint="eastAsia" w:ascii="宋体" w:hAnsi="宋体"/>
          <w:sz w:val="24"/>
        </w:rPr>
        <w:t>1、本维保合同3年总费用为：人民币：    ，税率：  %，人民币：    （含税价），即每一年维保费为：人民币：   （含税价） 。</w:t>
      </w:r>
    </w:p>
    <w:p w14:paraId="61C44575">
      <w:pPr>
        <w:spacing w:line="360" w:lineRule="auto"/>
        <w:ind w:right="344" w:rightChars="164" w:firstLine="567"/>
        <w:rPr>
          <w:rFonts w:hint="eastAsia" w:ascii="宋体" w:hAnsi="宋体"/>
          <w:sz w:val="24"/>
        </w:rPr>
      </w:pPr>
      <w:r>
        <w:rPr>
          <w:rFonts w:hint="eastAsia" w:ascii="宋体" w:hAnsi="宋体"/>
          <w:sz w:val="24"/>
        </w:rPr>
        <w:t>付款方式：</w:t>
      </w:r>
      <w:r>
        <w:rPr>
          <w:rFonts w:hint="eastAsia"/>
          <w:sz w:val="24"/>
        </w:rPr>
        <w:t>每六个月为一期，每期保养费用为</w:t>
      </w:r>
      <w:r>
        <w:rPr>
          <w:rFonts w:hint="eastAsia"/>
          <w:sz w:val="24"/>
          <w:u w:val="single"/>
        </w:rPr>
        <w:t xml:space="preserve">            </w:t>
      </w:r>
      <w:r>
        <w:rPr>
          <w:rFonts w:hint="eastAsia"/>
          <w:sz w:val="24"/>
        </w:rPr>
        <w:t>，</w:t>
      </w:r>
      <w:r>
        <w:rPr>
          <w:rFonts w:hint="eastAsia" w:ascii="宋体" w:hAnsi="宋体"/>
          <w:sz w:val="24"/>
        </w:rPr>
        <w:t>分别支付合同约定的年度维保费的50%。更换配件费用按月结算。</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3"/>
        <w:gridCol w:w="2366"/>
        <w:gridCol w:w="2682"/>
        <w:gridCol w:w="2601"/>
      </w:tblGrid>
      <w:tr w14:paraId="1865D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tcBorders>
              <w:top w:val="single" w:color="000000" w:sz="4" w:space="0"/>
              <w:left w:val="single" w:color="000000" w:sz="4" w:space="0"/>
              <w:bottom w:val="single" w:color="000000" w:sz="4" w:space="0"/>
              <w:right w:val="single" w:color="000000" w:sz="4" w:space="0"/>
            </w:tcBorders>
            <w:noWrap w:val="0"/>
            <w:vAlign w:val="top"/>
          </w:tcPr>
          <w:p w14:paraId="73E306A0">
            <w:pPr>
              <w:spacing w:line="460" w:lineRule="exact"/>
              <w:jc w:val="center"/>
              <w:rPr>
                <w:rFonts w:ascii="宋体" w:hAnsi="宋体"/>
                <w:sz w:val="24"/>
              </w:rPr>
            </w:pPr>
            <w:r>
              <w:rPr>
                <w:rFonts w:hint="eastAsia" w:ascii="宋体" w:hAnsi="宋体"/>
                <w:sz w:val="24"/>
              </w:rPr>
              <w:t>序号</w:t>
            </w:r>
          </w:p>
        </w:tc>
        <w:tc>
          <w:tcPr>
            <w:tcW w:w="2366" w:type="dxa"/>
            <w:tcBorders>
              <w:top w:val="single" w:color="000000" w:sz="4" w:space="0"/>
              <w:left w:val="nil"/>
              <w:bottom w:val="single" w:color="000000" w:sz="4" w:space="0"/>
              <w:right w:val="single" w:color="000000" w:sz="4" w:space="0"/>
            </w:tcBorders>
            <w:noWrap w:val="0"/>
            <w:vAlign w:val="top"/>
          </w:tcPr>
          <w:p w14:paraId="3E781EBE">
            <w:pPr>
              <w:spacing w:line="460" w:lineRule="exact"/>
              <w:jc w:val="center"/>
              <w:rPr>
                <w:rFonts w:ascii="宋体" w:hAnsi="宋体"/>
                <w:sz w:val="24"/>
              </w:rPr>
            </w:pPr>
            <w:r>
              <w:rPr>
                <w:rFonts w:hint="eastAsia" w:ascii="宋体" w:hAnsi="宋体"/>
                <w:sz w:val="24"/>
              </w:rPr>
              <w:t>付款时间</w:t>
            </w:r>
          </w:p>
        </w:tc>
        <w:tc>
          <w:tcPr>
            <w:tcW w:w="2682" w:type="dxa"/>
            <w:tcBorders>
              <w:top w:val="single" w:color="000000" w:sz="4" w:space="0"/>
              <w:left w:val="nil"/>
              <w:bottom w:val="single" w:color="000000" w:sz="4" w:space="0"/>
              <w:right w:val="single" w:color="000000" w:sz="4" w:space="0"/>
            </w:tcBorders>
            <w:noWrap w:val="0"/>
            <w:vAlign w:val="top"/>
          </w:tcPr>
          <w:p w14:paraId="7764B1DC">
            <w:pPr>
              <w:spacing w:line="460" w:lineRule="exact"/>
              <w:jc w:val="center"/>
              <w:rPr>
                <w:rFonts w:ascii="宋体" w:hAnsi="宋体"/>
                <w:sz w:val="24"/>
              </w:rPr>
            </w:pPr>
            <w:r>
              <w:rPr>
                <w:rFonts w:hint="eastAsia" w:ascii="宋体" w:hAnsi="宋体"/>
                <w:sz w:val="24"/>
              </w:rPr>
              <w:t>付款比例</w:t>
            </w:r>
          </w:p>
        </w:tc>
        <w:tc>
          <w:tcPr>
            <w:tcW w:w="2601" w:type="dxa"/>
            <w:tcBorders>
              <w:top w:val="single" w:color="000000" w:sz="4" w:space="0"/>
              <w:left w:val="nil"/>
              <w:bottom w:val="single" w:color="000000" w:sz="4" w:space="0"/>
              <w:right w:val="single" w:color="000000" w:sz="4" w:space="0"/>
            </w:tcBorders>
            <w:noWrap w:val="0"/>
            <w:vAlign w:val="top"/>
          </w:tcPr>
          <w:p w14:paraId="721B0BC1">
            <w:pPr>
              <w:spacing w:line="460" w:lineRule="exact"/>
              <w:jc w:val="center"/>
              <w:rPr>
                <w:rFonts w:ascii="宋体" w:hAnsi="宋体"/>
                <w:sz w:val="24"/>
              </w:rPr>
            </w:pPr>
            <w:r>
              <w:rPr>
                <w:rFonts w:hint="eastAsia" w:ascii="宋体" w:hAnsi="宋体"/>
                <w:sz w:val="24"/>
              </w:rPr>
              <w:t>金额（元）</w:t>
            </w:r>
          </w:p>
        </w:tc>
      </w:tr>
      <w:tr w14:paraId="496F6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873" w:type="dxa"/>
            <w:tcBorders>
              <w:top w:val="single" w:color="000000" w:sz="4" w:space="0"/>
              <w:left w:val="single" w:color="000000" w:sz="4" w:space="0"/>
              <w:bottom w:val="single" w:color="000000" w:sz="4" w:space="0"/>
              <w:right w:val="single" w:color="000000" w:sz="4" w:space="0"/>
            </w:tcBorders>
            <w:noWrap w:val="0"/>
            <w:vAlign w:val="top"/>
          </w:tcPr>
          <w:p w14:paraId="3A6BD387">
            <w:pPr>
              <w:spacing w:line="460" w:lineRule="exact"/>
              <w:jc w:val="center"/>
              <w:rPr>
                <w:rFonts w:ascii="宋体" w:hAnsi="宋体"/>
                <w:sz w:val="24"/>
              </w:rPr>
            </w:pPr>
            <w:r>
              <w:rPr>
                <w:rFonts w:hint="eastAsia" w:ascii="宋体" w:hAnsi="宋体"/>
                <w:sz w:val="24"/>
              </w:rPr>
              <w:t>1</w:t>
            </w:r>
          </w:p>
        </w:tc>
        <w:tc>
          <w:tcPr>
            <w:tcW w:w="2366" w:type="dxa"/>
            <w:tcBorders>
              <w:top w:val="single" w:color="000000" w:sz="4" w:space="0"/>
              <w:left w:val="nil"/>
              <w:bottom w:val="single" w:color="000000" w:sz="4" w:space="0"/>
              <w:right w:val="single" w:color="000000" w:sz="4" w:space="0"/>
            </w:tcBorders>
            <w:noWrap w:val="0"/>
            <w:vAlign w:val="top"/>
          </w:tcPr>
          <w:p w14:paraId="361389AD">
            <w:pPr>
              <w:spacing w:line="460" w:lineRule="exact"/>
              <w:jc w:val="center"/>
              <w:rPr>
                <w:rFonts w:ascii="宋体" w:hAnsi="宋体"/>
                <w:sz w:val="24"/>
              </w:rPr>
            </w:pPr>
            <w:r>
              <w:rPr>
                <w:rFonts w:hint="eastAsia" w:ascii="宋体" w:hAnsi="宋体"/>
                <w:sz w:val="24"/>
              </w:rPr>
              <w:t>年  月</w:t>
            </w:r>
          </w:p>
        </w:tc>
        <w:tc>
          <w:tcPr>
            <w:tcW w:w="2682" w:type="dxa"/>
            <w:tcBorders>
              <w:top w:val="single" w:color="000000" w:sz="4" w:space="0"/>
              <w:left w:val="nil"/>
              <w:bottom w:val="single" w:color="000000" w:sz="4" w:space="0"/>
              <w:right w:val="single" w:color="000000" w:sz="4" w:space="0"/>
            </w:tcBorders>
            <w:noWrap w:val="0"/>
            <w:vAlign w:val="top"/>
          </w:tcPr>
          <w:p w14:paraId="05F10467">
            <w:pPr>
              <w:spacing w:line="460" w:lineRule="exact"/>
              <w:jc w:val="center"/>
              <w:rPr>
                <w:rFonts w:ascii="宋体" w:hAnsi="宋体"/>
                <w:sz w:val="24"/>
              </w:rPr>
            </w:pPr>
            <w:r>
              <w:rPr>
                <w:rFonts w:hint="eastAsia" w:ascii="宋体" w:hAnsi="宋体"/>
                <w:sz w:val="24"/>
              </w:rPr>
              <w:t>第一年服务费的50%</w:t>
            </w:r>
          </w:p>
        </w:tc>
        <w:tc>
          <w:tcPr>
            <w:tcW w:w="2601" w:type="dxa"/>
            <w:tcBorders>
              <w:top w:val="single" w:color="000000" w:sz="4" w:space="0"/>
              <w:left w:val="nil"/>
              <w:bottom w:val="single" w:color="000000" w:sz="4" w:space="0"/>
              <w:right w:val="single" w:color="000000" w:sz="4" w:space="0"/>
            </w:tcBorders>
            <w:noWrap w:val="0"/>
            <w:vAlign w:val="top"/>
          </w:tcPr>
          <w:p w14:paraId="470C33F3">
            <w:pPr>
              <w:spacing w:line="460" w:lineRule="exact"/>
              <w:jc w:val="center"/>
              <w:rPr>
                <w:rFonts w:ascii="宋体" w:hAnsi="宋体"/>
                <w:sz w:val="24"/>
              </w:rPr>
            </w:pPr>
            <w:r>
              <w:rPr>
                <w:rFonts w:hint="eastAsia" w:ascii="宋体" w:hAnsi="宋体"/>
                <w:sz w:val="24"/>
              </w:rPr>
              <w:t xml:space="preserve"> </w:t>
            </w:r>
          </w:p>
        </w:tc>
      </w:tr>
      <w:tr w14:paraId="4C075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tcBorders>
              <w:top w:val="single" w:color="000000" w:sz="4" w:space="0"/>
              <w:left w:val="single" w:color="000000" w:sz="4" w:space="0"/>
              <w:bottom w:val="single" w:color="000000" w:sz="4" w:space="0"/>
              <w:right w:val="single" w:color="000000" w:sz="4" w:space="0"/>
            </w:tcBorders>
            <w:noWrap w:val="0"/>
            <w:vAlign w:val="top"/>
          </w:tcPr>
          <w:p w14:paraId="4932AF8E">
            <w:pPr>
              <w:spacing w:line="460" w:lineRule="exact"/>
              <w:jc w:val="center"/>
              <w:rPr>
                <w:rFonts w:ascii="宋体" w:hAnsi="宋体"/>
                <w:sz w:val="24"/>
              </w:rPr>
            </w:pPr>
            <w:r>
              <w:rPr>
                <w:rFonts w:hint="eastAsia" w:ascii="宋体" w:hAnsi="宋体"/>
                <w:sz w:val="24"/>
              </w:rPr>
              <w:t>2</w:t>
            </w:r>
          </w:p>
        </w:tc>
        <w:tc>
          <w:tcPr>
            <w:tcW w:w="2366" w:type="dxa"/>
            <w:tcBorders>
              <w:top w:val="single" w:color="000000" w:sz="4" w:space="0"/>
              <w:left w:val="nil"/>
              <w:bottom w:val="single" w:color="000000" w:sz="4" w:space="0"/>
              <w:right w:val="single" w:color="000000" w:sz="4" w:space="0"/>
            </w:tcBorders>
            <w:noWrap w:val="0"/>
            <w:vAlign w:val="top"/>
          </w:tcPr>
          <w:p w14:paraId="7B8B57A5">
            <w:pPr>
              <w:spacing w:line="460" w:lineRule="exact"/>
              <w:jc w:val="center"/>
              <w:rPr>
                <w:rFonts w:ascii="宋体" w:hAnsi="宋体"/>
                <w:sz w:val="24"/>
              </w:rPr>
            </w:pPr>
            <w:r>
              <w:rPr>
                <w:rFonts w:hint="eastAsia" w:ascii="宋体" w:hAnsi="宋体"/>
                <w:sz w:val="24"/>
              </w:rPr>
              <w:t>年  月</w:t>
            </w:r>
          </w:p>
        </w:tc>
        <w:tc>
          <w:tcPr>
            <w:tcW w:w="2682" w:type="dxa"/>
            <w:tcBorders>
              <w:top w:val="single" w:color="000000" w:sz="4" w:space="0"/>
              <w:left w:val="nil"/>
              <w:bottom w:val="single" w:color="000000" w:sz="4" w:space="0"/>
              <w:right w:val="single" w:color="000000" w:sz="4" w:space="0"/>
            </w:tcBorders>
            <w:noWrap w:val="0"/>
            <w:vAlign w:val="top"/>
          </w:tcPr>
          <w:p w14:paraId="3540911F">
            <w:pPr>
              <w:spacing w:line="460" w:lineRule="exact"/>
              <w:jc w:val="center"/>
              <w:rPr>
                <w:rFonts w:ascii="宋体" w:hAnsi="宋体"/>
                <w:sz w:val="24"/>
              </w:rPr>
            </w:pPr>
            <w:r>
              <w:rPr>
                <w:rFonts w:hint="eastAsia" w:ascii="宋体" w:hAnsi="宋体"/>
                <w:sz w:val="24"/>
              </w:rPr>
              <w:t>第一年服务费的50%</w:t>
            </w:r>
          </w:p>
        </w:tc>
        <w:tc>
          <w:tcPr>
            <w:tcW w:w="2601" w:type="dxa"/>
            <w:tcBorders>
              <w:top w:val="single" w:color="000000" w:sz="4" w:space="0"/>
              <w:left w:val="nil"/>
              <w:bottom w:val="single" w:color="000000" w:sz="4" w:space="0"/>
              <w:right w:val="single" w:color="000000" w:sz="4" w:space="0"/>
            </w:tcBorders>
            <w:noWrap w:val="0"/>
            <w:vAlign w:val="top"/>
          </w:tcPr>
          <w:p w14:paraId="66EF2B9E">
            <w:pPr>
              <w:spacing w:line="460" w:lineRule="exact"/>
              <w:jc w:val="center"/>
              <w:rPr>
                <w:rFonts w:ascii="宋体" w:hAnsi="宋体"/>
                <w:sz w:val="24"/>
              </w:rPr>
            </w:pPr>
            <w:r>
              <w:rPr>
                <w:rFonts w:hint="eastAsia" w:ascii="宋体" w:hAnsi="宋体"/>
                <w:sz w:val="24"/>
              </w:rPr>
              <w:t xml:space="preserve"> </w:t>
            </w:r>
          </w:p>
        </w:tc>
      </w:tr>
      <w:tr w14:paraId="5F5C5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tcBorders>
              <w:top w:val="single" w:color="000000" w:sz="4" w:space="0"/>
              <w:left w:val="single" w:color="000000" w:sz="4" w:space="0"/>
              <w:bottom w:val="single" w:color="000000" w:sz="4" w:space="0"/>
              <w:right w:val="single" w:color="000000" w:sz="4" w:space="0"/>
            </w:tcBorders>
            <w:noWrap w:val="0"/>
            <w:vAlign w:val="top"/>
          </w:tcPr>
          <w:p w14:paraId="02A6A808">
            <w:pPr>
              <w:spacing w:line="460" w:lineRule="exact"/>
              <w:jc w:val="center"/>
              <w:rPr>
                <w:rFonts w:ascii="宋体" w:hAnsi="宋体"/>
                <w:sz w:val="24"/>
              </w:rPr>
            </w:pPr>
            <w:r>
              <w:rPr>
                <w:rFonts w:hint="eastAsia" w:ascii="宋体" w:hAnsi="宋体"/>
                <w:sz w:val="24"/>
              </w:rPr>
              <w:t>3</w:t>
            </w:r>
          </w:p>
        </w:tc>
        <w:tc>
          <w:tcPr>
            <w:tcW w:w="2366" w:type="dxa"/>
            <w:tcBorders>
              <w:top w:val="single" w:color="000000" w:sz="4" w:space="0"/>
              <w:left w:val="nil"/>
              <w:bottom w:val="single" w:color="000000" w:sz="4" w:space="0"/>
              <w:right w:val="single" w:color="000000" w:sz="4" w:space="0"/>
            </w:tcBorders>
            <w:noWrap w:val="0"/>
            <w:vAlign w:val="top"/>
          </w:tcPr>
          <w:p w14:paraId="1B64D850">
            <w:pPr>
              <w:spacing w:line="460" w:lineRule="exact"/>
              <w:jc w:val="center"/>
              <w:rPr>
                <w:rFonts w:ascii="宋体" w:hAnsi="宋体"/>
                <w:sz w:val="24"/>
              </w:rPr>
            </w:pPr>
            <w:r>
              <w:rPr>
                <w:rFonts w:hint="eastAsia" w:ascii="宋体" w:hAnsi="宋体"/>
                <w:sz w:val="24"/>
              </w:rPr>
              <w:t>年  月</w:t>
            </w:r>
          </w:p>
        </w:tc>
        <w:tc>
          <w:tcPr>
            <w:tcW w:w="2682" w:type="dxa"/>
            <w:tcBorders>
              <w:top w:val="single" w:color="000000" w:sz="4" w:space="0"/>
              <w:left w:val="nil"/>
              <w:bottom w:val="single" w:color="000000" w:sz="4" w:space="0"/>
              <w:right w:val="single" w:color="000000" w:sz="4" w:space="0"/>
            </w:tcBorders>
            <w:noWrap w:val="0"/>
            <w:vAlign w:val="top"/>
          </w:tcPr>
          <w:p w14:paraId="074E0365">
            <w:pPr>
              <w:spacing w:line="460" w:lineRule="exact"/>
              <w:jc w:val="center"/>
              <w:rPr>
                <w:rFonts w:ascii="宋体" w:hAnsi="宋体"/>
                <w:sz w:val="24"/>
              </w:rPr>
            </w:pPr>
            <w:r>
              <w:rPr>
                <w:rFonts w:hint="eastAsia" w:ascii="宋体" w:hAnsi="宋体"/>
                <w:sz w:val="24"/>
              </w:rPr>
              <w:t>第二年服务费的50%</w:t>
            </w:r>
          </w:p>
        </w:tc>
        <w:tc>
          <w:tcPr>
            <w:tcW w:w="2601" w:type="dxa"/>
            <w:tcBorders>
              <w:top w:val="single" w:color="000000" w:sz="4" w:space="0"/>
              <w:left w:val="nil"/>
              <w:bottom w:val="single" w:color="000000" w:sz="4" w:space="0"/>
              <w:right w:val="single" w:color="000000" w:sz="4" w:space="0"/>
            </w:tcBorders>
            <w:noWrap w:val="0"/>
            <w:vAlign w:val="top"/>
          </w:tcPr>
          <w:p w14:paraId="60557769">
            <w:pPr>
              <w:spacing w:line="460" w:lineRule="exact"/>
              <w:jc w:val="center"/>
              <w:rPr>
                <w:rFonts w:ascii="宋体" w:hAnsi="宋体"/>
                <w:sz w:val="24"/>
              </w:rPr>
            </w:pPr>
            <w:r>
              <w:rPr>
                <w:rFonts w:hint="eastAsia" w:ascii="宋体" w:hAnsi="宋体"/>
                <w:sz w:val="24"/>
              </w:rPr>
              <w:t xml:space="preserve"> </w:t>
            </w:r>
          </w:p>
        </w:tc>
      </w:tr>
      <w:tr w14:paraId="2C6FC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tcBorders>
              <w:top w:val="single" w:color="000000" w:sz="4" w:space="0"/>
              <w:left w:val="single" w:color="000000" w:sz="4" w:space="0"/>
              <w:bottom w:val="single" w:color="000000" w:sz="4" w:space="0"/>
              <w:right w:val="single" w:color="000000" w:sz="4" w:space="0"/>
            </w:tcBorders>
            <w:noWrap w:val="0"/>
            <w:vAlign w:val="top"/>
          </w:tcPr>
          <w:p w14:paraId="70E522E5">
            <w:pPr>
              <w:spacing w:line="460" w:lineRule="exact"/>
              <w:jc w:val="center"/>
              <w:rPr>
                <w:rFonts w:ascii="宋体" w:hAnsi="宋体"/>
                <w:sz w:val="24"/>
              </w:rPr>
            </w:pPr>
            <w:r>
              <w:rPr>
                <w:rFonts w:hint="eastAsia" w:ascii="宋体" w:hAnsi="宋体"/>
                <w:sz w:val="24"/>
              </w:rPr>
              <w:t>4</w:t>
            </w:r>
          </w:p>
        </w:tc>
        <w:tc>
          <w:tcPr>
            <w:tcW w:w="2366" w:type="dxa"/>
            <w:tcBorders>
              <w:top w:val="single" w:color="000000" w:sz="4" w:space="0"/>
              <w:left w:val="nil"/>
              <w:bottom w:val="single" w:color="000000" w:sz="4" w:space="0"/>
              <w:right w:val="single" w:color="000000" w:sz="4" w:space="0"/>
            </w:tcBorders>
            <w:noWrap w:val="0"/>
            <w:vAlign w:val="top"/>
          </w:tcPr>
          <w:p w14:paraId="004B3ADF">
            <w:pPr>
              <w:spacing w:line="460" w:lineRule="exact"/>
              <w:jc w:val="center"/>
              <w:rPr>
                <w:rFonts w:ascii="宋体" w:hAnsi="宋体"/>
                <w:sz w:val="24"/>
              </w:rPr>
            </w:pPr>
            <w:r>
              <w:rPr>
                <w:rFonts w:hint="eastAsia" w:ascii="宋体" w:hAnsi="宋体"/>
                <w:sz w:val="24"/>
              </w:rPr>
              <w:t>年   月</w:t>
            </w:r>
          </w:p>
        </w:tc>
        <w:tc>
          <w:tcPr>
            <w:tcW w:w="2682" w:type="dxa"/>
            <w:tcBorders>
              <w:top w:val="single" w:color="000000" w:sz="4" w:space="0"/>
              <w:left w:val="nil"/>
              <w:bottom w:val="single" w:color="000000" w:sz="4" w:space="0"/>
              <w:right w:val="single" w:color="000000" w:sz="4" w:space="0"/>
            </w:tcBorders>
            <w:noWrap w:val="0"/>
            <w:vAlign w:val="top"/>
          </w:tcPr>
          <w:p w14:paraId="6F90646A">
            <w:pPr>
              <w:spacing w:line="460" w:lineRule="exact"/>
              <w:jc w:val="center"/>
              <w:rPr>
                <w:rFonts w:ascii="宋体" w:hAnsi="宋体"/>
                <w:sz w:val="24"/>
              </w:rPr>
            </w:pPr>
            <w:r>
              <w:rPr>
                <w:rFonts w:hint="eastAsia" w:ascii="宋体" w:hAnsi="宋体"/>
                <w:sz w:val="24"/>
              </w:rPr>
              <w:t>第二年服务费的50%</w:t>
            </w:r>
          </w:p>
        </w:tc>
        <w:tc>
          <w:tcPr>
            <w:tcW w:w="2601" w:type="dxa"/>
            <w:tcBorders>
              <w:top w:val="single" w:color="000000" w:sz="4" w:space="0"/>
              <w:left w:val="nil"/>
              <w:bottom w:val="single" w:color="000000" w:sz="4" w:space="0"/>
              <w:right w:val="single" w:color="000000" w:sz="4" w:space="0"/>
            </w:tcBorders>
            <w:noWrap w:val="0"/>
            <w:vAlign w:val="top"/>
          </w:tcPr>
          <w:p w14:paraId="031CA6E8">
            <w:pPr>
              <w:spacing w:line="460" w:lineRule="exact"/>
              <w:jc w:val="center"/>
              <w:rPr>
                <w:rFonts w:ascii="宋体" w:hAnsi="宋体"/>
                <w:sz w:val="24"/>
              </w:rPr>
            </w:pPr>
            <w:r>
              <w:rPr>
                <w:rFonts w:hint="eastAsia" w:ascii="宋体" w:hAnsi="宋体"/>
                <w:sz w:val="24"/>
              </w:rPr>
              <w:t xml:space="preserve"> </w:t>
            </w:r>
          </w:p>
        </w:tc>
      </w:tr>
      <w:tr w14:paraId="071CC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tcBorders>
              <w:top w:val="single" w:color="000000" w:sz="4" w:space="0"/>
              <w:left w:val="single" w:color="000000" w:sz="4" w:space="0"/>
              <w:bottom w:val="single" w:color="000000" w:sz="4" w:space="0"/>
              <w:right w:val="single" w:color="000000" w:sz="4" w:space="0"/>
            </w:tcBorders>
            <w:noWrap w:val="0"/>
            <w:vAlign w:val="top"/>
          </w:tcPr>
          <w:p w14:paraId="521CA042">
            <w:pPr>
              <w:spacing w:line="460" w:lineRule="exact"/>
              <w:jc w:val="center"/>
              <w:rPr>
                <w:rFonts w:ascii="宋体" w:hAnsi="宋体"/>
                <w:sz w:val="24"/>
              </w:rPr>
            </w:pPr>
            <w:r>
              <w:rPr>
                <w:rFonts w:hint="eastAsia" w:ascii="宋体" w:hAnsi="宋体"/>
                <w:sz w:val="24"/>
              </w:rPr>
              <w:t>5</w:t>
            </w:r>
          </w:p>
        </w:tc>
        <w:tc>
          <w:tcPr>
            <w:tcW w:w="2366" w:type="dxa"/>
            <w:tcBorders>
              <w:top w:val="single" w:color="000000" w:sz="4" w:space="0"/>
              <w:left w:val="nil"/>
              <w:bottom w:val="single" w:color="000000" w:sz="4" w:space="0"/>
              <w:right w:val="single" w:color="000000" w:sz="4" w:space="0"/>
            </w:tcBorders>
            <w:noWrap w:val="0"/>
            <w:vAlign w:val="top"/>
          </w:tcPr>
          <w:p w14:paraId="5F9C4428">
            <w:pPr>
              <w:spacing w:line="460" w:lineRule="exact"/>
              <w:jc w:val="center"/>
              <w:rPr>
                <w:rFonts w:ascii="宋体" w:hAnsi="宋体"/>
                <w:sz w:val="24"/>
              </w:rPr>
            </w:pPr>
            <w:r>
              <w:rPr>
                <w:rFonts w:hint="eastAsia" w:ascii="宋体" w:hAnsi="宋体"/>
                <w:sz w:val="24"/>
              </w:rPr>
              <w:t>年  月</w:t>
            </w:r>
          </w:p>
        </w:tc>
        <w:tc>
          <w:tcPr>
            <w:tcW w:w="2682" w:type="dxa"/>
            <w:tcBorders>
              <w:top w:val="single" w:color="000000" w:sz="4" w:space="0"/>
              <w:left w:val="nil"/>
              <w:bottom w:val="single" w:color="000000" w:sz="4" w:space="0"/>
              <w:right w:val="single" w:color="000000" w:sz="4" w:space="0"/>
            </w:tcBorders>
            <w:noWrap w:val="0"/>
            <w:vAlign w:val="top"/>
          </w:tcPr>
          <w:p w14:paraId="51D6986A">
            <w:pPr>
              <w:spacing w:line="460" w:lineRule="exact"/>
              <w:jc w:val="center"/>
              <w:rPr>
                <w:rFonts w:ascii="宋体" w:hAnsi="宋体"/>
                <w:sz w:val="24"/>
              </w:rPr>
            </w:pPr>
            <w:r>
              <w:rPr>
                <w:rFonts w:hint="eastAsia" w:ascii="宋体" w:hAnsi="宋体"/>
                <w:sz w:val="24"/>
              </w:rPr>
              <w:t>第三年服务费的50%</w:t>
            </w:r>
          </w:p>
        </w:tc>
        <w:tc>
          <w:tcPr>
            <w:tcW w:w="2601" w:type="dxa"/>
            <w:tcBorders>
              <w:top w:val="single" w:color="000000" w:sz="4" w:space="0"/>
              <w:left w:val="nil"/>
              <w:bottom w:val="single" w:color="000000" w:sz="4" w:space="0"/>
              <w:right w:val="single" w:color="000000" w:sz="4" w:space="0"/>
            </w:tcBorders>
            <w:noWrap w:val="0"/>
            <w:vAlign w:val="top"/>
          </w:tcPr>
          <w:p w14:paraId="5961E7ED">
            <w:pPr>
              <w:spacing w:line="460" w:lineRule="exact"/>
              <w:jc w:val="center"/>
              <w:rPr>
                <w:rFonts w:ascii="宋体" w:hAnsi="宋体"/>
                <w:sz w:val="24"/>
              </w:rPr>
            </w:pPr>
            <w:r>
              <w:rPr>
                <w:rFonts w:hint="eastAsia" w:ascii="宋体" w:hAnsi="宋体"/>
                <w:sz w:val="24"/>
              </w:rPr>
              <w:t xml:space="preserve"> </w:t>
            </w:r>
          </w:p>
        </w:tc>
      </w:tr>
      <w:tr w14:paraId="4CC80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tcBorders>
              <w:top w:val="single" w:color="000000" w:sz="4" w:space="0"/>
              <w:left w:val="single" w:color="000000" w:sz="4" w:space="0"/>
              <w:bottom w:val="single" w:color="000000" w:sz="4" w:space="0"/>
              <w:right w:val="single" w:color="000000" w:sz="4" w:space="0"/>
            </w:tcBorders>
            <w:noWrap w:val="0"/>
            <w:vAlign w:val="top"/>
          </w:tcPr>
          <w:p w14:paraId="2B098C35">
            <w:pPr>
              <w:spacing w:line="460" w:lineRule="exact"/>
              <w:jc w:val="center"/>
              <w:rPr>
                <w:rFonts w:ascii="宋体" w:hAnsi="宋体"/>
                <w:sz w:val="24"/>
              </w:rPr>
            </w:pPr>
            <w:r>
              <w:rPr>
                <w:rFonts w:hint="eastAsia" w:ascii="宋体" w:hAnsi="宋体"/>
                <w:sz w:val="24"/>
              </w:rPr>
              <w:t>6</w:t>
            </w:r>
          </w:p>
        </w:tc>
        <w:tc>
          <w:tcPr>
            <w:tcW w:w="2366" w:type="dxa"/>
            <w:tcBorders>
              <w:top w:val="single" w:color="000000" w:sz="4" w:space="0"/>
              <w:left w:val="nil"/>
              <w:bottom w:val="single" w:color="000000" w:sz="4" w:space="0"/>
              <w:right w:val="single" w:color="000000" w:sz="4" w:space="0"/>
            </w:tcBorders>
            <w:noWrap w:val="0"/>
            <w:vAlign w:val="top"/>
          </w:tcPr>
          <w:p w14:paraId="7A04692A">
            <w:pPr>
              <w:spacing w:line="460" w:lineRule="exact"/>
              <w:jc w:val="center"/>
              <w:rPr>
                <w:rFonts w:ascii="宋体" w:hAnsi="宋体"/>
                <w:sz w:val="24"/>
              </w:rPr>
            </w:pPr>
            <w:r>
              <w:rPr>
                <w:rFonts w:hint="eastAsia" w:ascii="宋体" w:hAnsi="宋体"/>
                <w:sz w:val="24"/>
              </w:rPr>
              <w:t>年  月</w:t>
            </w:r>
          </w:p>
        </w:tc>
        <w:tc>
          <w:tcPr>
            <w:tcW w:w="2682" w:type="dxa"/>
            <w:tcBorders>
              <w:top w:val="single" w:color="000000" w:sz="4" w:space="0"/>
              <w:left w:val="nil"/>
              <w:bottom w:val="single" w:color="000000" w:sz="4" w:space="0"/>
              <w:right w:val="single" w:color="000000" w:sz="4" w:space="0"/>
            </w:tcBorders>
            <w:noWrap w:val="0"/>
            <w:vAlign w:val="top"/>
          </w:tcPr>
          <w:p w14:paraId="39800C91">
            <w:pPr>
              <w:spacing w:line="460" w:lineRule="exact"/>
              <w:jc w:val="center"/>
              <w:rPr>
                <w:rFonts w:ascii="宋体" w:hAnsi="宋体"/>
                <w:sz w:val="24"/>
              </w:rPr>
            </w:pPr>
            <w:r>
              <w:rPr>
                <w:rFonts w:hint="eastAsia" w:ascii="宋体" w:hAnsi="宋体"/>
                <w:sz w:val="24"/>
              </w:rPr>
              <w:t>第三年服务费的50%</w:t>
            </w:r>
          </w:p>
        </w:tc>
        <w:tc>
          <w:tcPr>
            <w:tcW w:w="2601" w:type="dxa"/>
            <w:tcBorders>
              <w:top w:val="single" w:color="000000" w:sz="4" w:space="0"/>
              <w:left w:val="nil"/>
              <w:bottom w:val="single" w:color="000000" w:sz="4" w:space="0"/>
              <w:right w:val="single" w:color="000000" w:sz="4" w:space="0"/>
            </w:tcBorders>
            <w:noWrap w:val="0"/>
            <w:vAlign w:val="top"/>
          </w:tcPr>
          <w:p w14:paraId="5C6A0F8E">
            <w:pPr>
              <w:spacing w:line="460" w:lineRule="exact"/>
              <w:jc w:val="center"/>
              <w:rPr>
                <w:rFonts w:ascii="宋体" w:hAnsi="宋体"/>
                <w:sz w:val="24"/>
              </w:rPr>
            </w:pPr>
            <w:r>
              <w:rPr>
                <w:rFonts w:hint="eastAsia" w:ascii="宋体" w:hAnsi="宋体"/>
                <w:sz w:val="24"/>
              </w:rPr>
              <w:t xml:space="preserve"> </w:t>
            </w:r>
          </w:p>
        </w:tc>
      </w:tr>
    </w:tbl>
    <w:p w14:paraId="7E2570B0">
      <w:pPr>
        <w:rPr>
          <w:rFonts w:hint="eastAsia"/>
          <w:sz w:val="24"/>
        </w:rPr>
      </w:pPr>
      <w:r>
        <w:rPr>
          <w:sz w:val="24"/>
        </w:rPr>
        <w:t xml:space="preserve"> </w:t>
      </w:r>
    </w:p>
    <w:p w14:paraId="3D3DB294">
      <w:pPr>
        <w:spacing w:line="360" w:lineRule="auto"/>
        <w:ind w:right="344" w:rightChars="164" w:firstLine="567"/>
        <w:rPr>
          <w:rFonts w:ascii="宋体" w:hAnsi="宋体"/>
          <w:bCs/>
          <w:sz w:val="24"/>
        </w:rPr>
      </w:pPr>
      <w:r>
        <w:rPr>
          <w:rFonts w:hint="eastAsia" w:ascii="宋体" w:hAnsi="宋体"/>
          <w:bCs/>
          <w:sz w:val="24"/>
        </w:rPr>
        <w:t>注：每次付款前成交人须向采购人提供合法、相对应金额的正式增值税专用发票，否则采购人有权拒绝付款而不视为违约。以上付款均不计利息。</w:t>
      </w:r>
    </w:p>
    <w:p w14:paraId="3D732335">
      <w:pPr>
        <w:spacing w:line="400" w:lineRule="exact"/>
        <w:rPr>
          <w:rFonts w:hint="eastAsia"/>
          <w:b/>
          <w:sz w:val="24"/>
        </w:rPr>
      </w:pPr>
      <w:r>
        <w:rPr>
          <w:rFonts w:hint="eastAsia"/>
          <w:b/>
          <w:bCs/>
          <w:sz w:val="24"/>
        </w:rPr>
        <w:t xml:space="preserve">六 </w:t>
      </w:r>
      <w:r>
        <w:rPr>
          <w:rFonts w:hint="eastAsia"/>
          <w:b/>
          <w:sz w:val="24"/>
        </w:rPr>
        <w:t>本合同不承担项目</w:t>
      </w:r>
    </w:p>
    <w:p w14:paraId="4F437172">
      <w:pPr>
        <w:spacing w:line="400" w:lineRule="exact"/>
        <w:ind w:firstLine="480" w:firstLineChars="200"/>
        <w:rPr>
          <w:rFonts w:hint="eastAsia"/>
          <w:sz w:val="24"/>
        </w:rPr>
      </w:pPr>
      <w:r>
        <w:rPr>
          <w:rFonts w:hint="eastAsia"/>
          <w:sz w:val="24"/>
        </w:rPr>
        <w:t>6.1本合同内容之外的项目。</w:t>
      </w:r>
    </w:p>
    <w:p w14:paraId="042477AE">
      <w:pPr>
        <w:spacing w:line="400" w:lineRule="exact"/>
        <w:ind w:firstLine="480" w:firstLineChars="200"/>
        <w:rPr>
          <w:rFonts w:hint="eastAsia"/>
          <w:sz w:val="24"/>
        </w:rPr>
      </w:pPr>
      <w:r>
        <w:rPr>
          <w:rFonts w:hint="eastAsia"/>
          <w:sz w:val="24"/>
        </w:rPr>
        <w:t>6.2设备使用不当所引起的损失。</w:t>
      </w:r>
    </w:p>
    <w:p w14:paraId="051E044F">
      <w:pPr>
        <w:spacing w:line="400" w:lineRule="exact"/>
        <w:ind w:firstLine="480" w:firstLineChars="200"/>
        <w:rPr>
          <w:rFonts w:hint="eastAsia"/>
          <w:sz w:val="24"/>
        </w:rPr>
      </w:pPr>
      <w:r>
        <w:rPr>
          <w:rFonts w:hint="eastAsia"/>
          <w:sz w:val="24"/>
        </w:rPr>
        <w:t>6.3遇蓄意破坏及不可抗力所引起之损失。</w:t>
      </w:r>
    </w:p>
    <w:p w14:paraId="76F004ED">
      <w:pPr>
        <w:spacing w:line="400" w:lineRule="exact"/>
        <w:ind w:firstLine="480" w:firstLineChars="200"/>
        <w:rPr>
          <w:rFonts w:hint="eastAsia"/>
          <w:sz w:val="24"/>
        </w:rPr>
      </w:pPr>
      <w:r>
        <w:rPr>
          <w:rFonts w:hint="eastAsia"/>
          <w:sz w:val="24"/>
        </w:rPr>
        <w:t>6.4设备易损件（200元以上）。</w:t>
      </w:r>
    </w:p>
    <w:p w14:paraId="3D029B28">
      <w:pPr>
        <w:spacing w:line="400" w:lineRule="exact"/>
        <w:ind w:firstLine="241" w:firstLineChars="100"/>
        <w:rPr>
          <w:rFonts w:hint="eastAsia"/>
          <w:sz w:val="24"/>
        </w:rPr>
      </w:pPr>
      <w:r>
        <w:rPr>
          <w:rFonts w:hint="eastAsia"/>
          <w:b/>
          <w:bCs/>
          <w:sz w:val="24"/>
        </w:rPr>
        <w:t xml:space="preserve">七 </w:t>
      </w:r>
      <w:r>
        <w:rPr>
          <w:rFonts w:hint="eastAsia"/>
          <w:sz w:val="24"/>
        </w:rPr>
        <w:t xml:space="preserve"> </w:t>
      </w:r>
      <w:r>
        <w:rPr>
          <w:rFonts w:hint="eastAsia"/>
          <w:b/>
          <w:sz w:val="24"/>
        </w:rPr>
        <w:t>其他</w:t>
      </w:r>
    </w:p>
    <w:p w14:paraId="604DC6FC">
      <w:pPr>
        <w:spacing w:line="400" w:lineRule="exact"/>
        <w:ind w:left="15" w:leftChars="7" w:firstLine="460" w:firstLineChars="192"/>
        <w:rPr>
          <w:rFonts w:hint="eastAsia"/>
          <w:sz w:val="24"/>
        </w:rPr>
      </w:pPr>
      <w:r>
        <w:rPr>
          <w:rFonts w:hint="eastAsia"/>
          <w:sz w:val="24"/>
        </w:rPr>
        <w:t>7.1因受托方保养不当、疏于职责和管理而导致发生事故和意外事件，或虽未发生事故和意外事件，但经委托方确认受托方在维修保养中出现严重失职或隐患的，委托方有权做出扣减保养金额和立即终止本保养合约等行为，如由此导致委托方损失的，受托方应负责全额赔偿，包括但不限于因此而产生的诉讼费、律师代理费等各类费用。对此，受托方不得要求委托方承担任何责任。</w:t>
      </w:r>
    </w:p>
    <w:p w14:paraId="41D2361A">
      <w:pPr>
        <w:spacing w:line="400" w:lineRule="exact"/>
        <w:ind w:left="15" w:leftChars="7" w:firstLine="460" w:firstLineChars="192"/>
        <w:rPr>
          <w:rFonts w:hint="eastAsia"/>
          <w:sz w:val="24"/>
        </w:rPr>
      </w:pPr>
      <w:r>
        <w:rPr>
          <w:rFonts w:hint="eastAsia"/>
          <w:sz w:val="24"/>
        </w:rPr>
        <w:t>7.2委托方要求受托方提供本合同及附件所规定的条款之外的服务项目时，受托方将以报价单形式经委托方确认，在双方另行签订协议后由受托方提供服务。</w:t>
      </w:r>
    </w:p>
    <w:p w14:paraId="2F683D2F">
      <w:pPr>
        <w:spacing w:line="400" w:lineRule="exact"/>
        <w:ind w:right="-208" w:rightChars="-99" w:firstLine="480" w:firstLineChars="200"/>
        <w:rPr>
          <w:rFonts w:hint="eastAsia"/>
          <w:sz w:val="24"/>
        </w:rPr>
      </w:pPr>
      <w:r>
        <w:rPr>
          <w:rFonts w:hint="eastAsia"/>
          <w:sz w:val="24"/>
        </w:rPr>
        <w:t>7.3服务期限内，委托方需要增加设备的功能时，双方应另行签订修理合同，受托方给予价格优惠。</w:t>
      </w:r>
    </w:p>
    <w:p w14:paraId="5A5578BB">
      <w:pPr>
        <w:spacing w:line="400" w:lineRule="exact"/>
        <w:ind w:firstLine="480" w:firstLineChars="200"/>
        <w:rPr>
          <w:rFonts w:hint="eastAsia"/>
          <w:sz w:val="24"/>
        </w:rPr>
      </w:pPr>
      <w:r>
        <w:rPr>
          <w:rFonts w:hint="eastAsia"/>
          <w:sz w:val="24"/>
        </w:rPr>
        <w:t>7.4保养中产生的各类废弃物，由受托方按照当地环境管理法律法规及有关规定予以处理。</w:t>
      </w:r>
    </w:p>
    <w:p w14:paraId="5290465A">
      <w:pPr>
        <w:spacing w:line="400" w:lineRule="exact"/>
        <w:ind w:firstLine="480" w:firstLineChars="200"/>
        <w:rPr>
          <w:rFonts w:hint="eastAsia"/>
          <w:sz w:val="24"/>
        </w:rPr>
      </w:pPr>
      <w:r>
        <w:rPr>
          <w:rFonts w:hint="eastAsia"/>
          <w:sz w:val="24"/>
        </w:rPr>
        <w:t>7.5本合同如有未尽事宜，双方可另行商定并签订协议作为合同附件。</w:t>
      </w:r>
    </w:p>
    <w:p w14:paraId="2CF72C66">
      <w:pPr>
        <w:spacing w:line="400" w:lineRule="exact"/>
        <w:ind w:firstLine="480" w:firstLineChars="200"/>
        <w:rPr>
          <w:rFonts w:hint="eastAsia"/>
          <w:sz w:val="24"/>
        </w:rPr>
      </w:pPr>
      <w:r>
        <w:rPr>
          <w:rFonts w:hint="eastAsia"/>
          <w:sz w:val="24"/>
        </w:rPr>
        <w:t>7.6除本合同以外，经双方确认的附件、协议，均视为本合同的组成部分，具有同等效力。</w:t>
      </w:r>
    </w:p>
    <w:p w14:paraId="1AD2B4B3">
      <w:pPr>
        <w:spacing w:line="400" w:lineRule="exact"/>
        <w:ind w:firstLine="480" w:firstLineChars="200"/>
        <w:rPr>
          <w:rFonts w:hint="eastAsia"/>
          <w:sz w:val="24"/>
        </w:rPr>
      </w:pPr>
      <w:r>
        <w:rPr>
          <w:rFonts w:hint="eastAsia"/>
          <w:sz w:val="24"/>
        </w:rPr>
        <w:t>7.7双方发生争议时，应事先协商，如协商不成，</w:t>
      </w:r>
      <w:r>
        <w:rPr>
          <w:rFonts w:hint="eastAsia"/>
          <w:b/>
          <w:sz w:val="24"/>
        </w:rPr>
        <w:t>任何一方可向实施服务所在地人民法院诉讼或仲裁委员会仲裁</w:t>
      </w:r>
      <w:r>
        <w:rPr>
          <w:rFonts w:hint="eastAsia"/>
          <w:sz w:val="24"/>
        </w:rPr>
        <w:t>。</w:t>
      </w:r>
    </w:p>
    <w:p w14:paraId="286128F8">
      <w:pPr>
        <w:spacing w:line="400" w:lineRule="exact"/>
        <w:ind w:left="15" w:leftChars="7" w:firstLine="460" w:firstLineChars="192"/>
        <w:rPr>
          <w:rFonts w:hint="eastAsia"/>
          <w:sz w:val="24"/>
        </w:rPr>
      </w:pPr>
      <w:r>
        <w:rPr>
          <w:rFonts w:hint="eastAsia"/>
          <w:sz w:val="24"/>
        </w:rPr>
        <w:t>7.8除本合同第八条第一款所述情形外，任何一方若需终止合同，必须提前一个月书面通知对方。在结清所有费用后，再办理终止事宜。</w:t>
      </w:r>
    </w:p>
    <w:p w14:paraId="71BA04FA">
      <w:pPr>
        <w:spacing w:line="400" w:lineRule="exact"/>
        <w:ind w:firstLine="600" w:firstLineChars="250"/>
        <w:rPr>
          <w:rFonts w:hint="eastAsia"/>
          <w:sz w:val="24"/>
        </w:rPr>
      </w:pPr>
      <w:r>
        <w:rPr>
          <w:rFonts w:hint="eastAsia"/>
          <w:sz w:val="24"/>
        </w:rPr>
        <w:t xml:space="preserve">7.9乙方于签署本合同之时确认，甲方的任何员工未曾为促成本合同而寻求金钱或其它直接或间接之利益，乙方亦未为促成本此投标报价而向甲方的任何员工提供或承诺事后提供金钱或其它直接或间接之利益。 </w:t>
      </w:r>
    </w:p>
    <w:p w14:paraId="323CD6EA">
      <w:pPr>
        <w:spacing w:line="400" w:lineRule="exact"/>
        <w:rPr>
          <w:rFonts w:hint="eastAsia"/>
          <w:b/>
          <w:sz w:val="24"/>
        </w:rPr>
      </w:pPr>
      <w:r>
        <w:rPr>
          <w:rFonts w:hint="eastAsia"/>
          <w:b/>
          <w:sz w:val="24"/>
        </w:rPr>
        <w:t xml:space="preserve">八 </w:t>
      </w:r>
      <w:r>
        <w:rPr>
          <w:rFonts w:hint="eastAsia"/>
          <w:b/>
          <w:sz w:val="24"/>
          <w:lang w:val="en-US" w:eastAsia="zh-CN"/>
        </w:rPr>
        <w:t>合同</w:t>
      </w:r>
      <w:r>
        <w:rPr>
          <w:rFonts w:hint="eastAsia"/>
          <w:b/>
          <w:sz w:val="24"/>
        </w:rPr>
        <w:t>附件</w:t>
      </w:r>
    </w:p>
    <w:p w14:paraId="787D9CB3">
      <w:pPr>
        <w:spacing w:line="400" w:lineRule="exact"/>
        <w:ind w:firstLine="480" w:firstLineChars="200"/>
        <w:rPr>
          <w:sz w:val="24"/>
        </w:rPr>
      </w:pPr>
      <w:r>
        <w:rPr>
          <w:rFonts w:hint="eastAsia"/>
          <w:sz w:val="24"/>
        </w:rPr>
        <w:t>8.1《擦窗机维护、保养内容》</w:t>
      </w:r>
    </w:p>
    <w:p w14:paraId="4F0CAA58">
      <w:pPr>
        <w:spacing w:line="400" w:lineRule="exact"/>
        <w:ind w:firstLine="480" w:firstLineChars="200"/>
        <w:rPr>
          <w:sz w:val="24"/>
        </w:rPr>
      </w:pPr>
      <w:r>
        <w:rPr>
          <w:rFonts w:hint="eastAsia"/>
          <w:sz w:val="24"/>
        </w:rPr>
        <w:t>8.2：《擦窗机备品备件清单》</w:t>
      </w:r>
    </w:p>
    <w:p w14:paraId="4422B092">
      <w:pPr>
        <w:spacing w:line="400" w:lineRule="exact"/>
        <w:ind w:firstLine="480" w:firstLineChars="200"/>
        <w:rPr>
          <w:rFonts w:hint="eastAsia"/>
          <w:sz w:val="24"/>
        </w:rPr>
      </w:pPr>
      <w:r>
        <w:rPr>
          <w:rFonts w:hint="eastAsia"/>
          <w:sz w:val="24"/>
        </w:rPr>
        <w:t>委托方（甲方）</w:t>
      </w:r>
      <w:r>
        <w:rPr>
          <w:rFonts w:hint="eastAsia"/>
          <w:b/>
          <w:sz w:val="24"/>
        </w:rPr>
        <w:t xml:space="preserve">                             </w:t>
      </w:r>
      <w:r>
        <w:rPr>
          <w:rFonts w:hint="eastAsia"/>
          <w:sz w:val="24"/>
        </w:rPr>
        <w:t xml:space="preserve">  受托方（乙方）                          </w:t>
      </w:r>
    </w:p>
    <w:p w14:paraId="3AEE6AFB">
      <w:pPr>
        <w:spacing w:line="400" w:lineRule="exact"/>
        <w:ind w:firstLine="480" w:firstLineChars="200"/>
        <w:rPr>
          <w:rFonts w:hint="eastAsia"/>
          <w:sz w:val="24"/>
        </w:rPr>
      </w:pPr>
      <w:r>
        <w:rPr>
          <w:rFonts w:hint="eastAsia"/>
          <w:sz w:val="24"/>
        </w:rPr>
        <w:t>单位名称：（章）</w:t>
      </w:r>
      <w:r>
        <w:rPr>
          <w:rFonts w:hint="eastAsia"/>
          <w:b/>
          <w:sz w:val="24"/>
        </w:rPr>
        <w:t xml:space="preserve"> </w:t>
      </w:r>
      <w:r>
        <w:rPr>
          <w:rFonts w:hint="eastAsia"/>
          <w:sz w:val="24"/>
        </w:rPr>
        <w:t xml:space="preserve">                            单位名称：（章）</w:t>
      </w:r>
      <w:r>
        <w:rPr>
          <w:rFonts w:hint="eastAsia"/>
          <w:b/>
          <w:sz w:val="24"/>
        </w:rPr>
        <w:t xml:space="preserve"> </w:t>
      </w:r>
    </w:p>
    <w:p w14:paraId="1C285C5F">
      <w:pPr>
        <w:spacing w:line="400" w:lineRule="exact"/>
        <w:ind w:firstLine="480" w:firstLineChars="200"/>
        <w:rPr>
          <w:rFonts w:hint="eastAsia"/>
          <w:sz w:val="24"/>
        </w:rPr>
      </w:pPr>
      <w:r>
        <w:rPr>
          <w:rFonts w:hint="eastAsia"/>
          <w:sz w:val="24"/>
        </w:rPr>
        <w:t>地址：                                       地址：</w:t>
      </w:r>
    </w:p>
    <w:p w14:paraId="0829AAAC">
      <w:pPr>
        <w:spacing w:line="400" w:lineRule="exact"/>
        <w:ind w:firstLine="480" w:firstLineChars="200"/>
        <w:rPr>
          <w:rFonts w:hint="eastAsia"/>
          <w:sz w:val="24"/>
        </w:rPr>
      </w:pPr>
      <w:r>
        <w:rPr>
          <w:rFonts w:hint="eastAsia"/>
          <w:sz w:val="24"/>
        </w:rPr>
        <w:t xml:space="preserve">联系人：                                     联系人：                </w:t>
      </w:r>
    </w:p>
    <w:p w14:paraId="16326FB0">
      <w:r>
        <w:rPr>
          <w:rFonts w:hint="eastAsia"/>
          <w:sz w:val="24"/>
        </w:rPr>
        <w:t>联系电话：                                   联系电话：</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A75C0F"/>
    <w:multiLevelType w:val="multilevel"/>
    <w:tmpl w:val="20A75C0F"/>
    <w:lvl w:ilvl="0" w:tentative="0">
      <w:start w:val="3"/>
      <w:numFmt w:val="decimal"/>
      <w:lvlText w:val="%1"/>
      <w:lvlJc w:val="left"/>
      <w:pPr>
        <w:tabs>
          <w:tab w:val="left" w:pos="360"/>
        </w:tabs>
        <w:ind w:left="360" w:hanging="360"/>
      </w:pPr>
      <w:rPr>
        <w:rFonts w:hint="default"/>
      </w:rPr>
    </w:lvl>
    <w:lvl w:ilvl="1" w:tentative="0">
      <w:start w:val="2"/>
      <w:numFmt w:val="decimal"/>
      <w:lvlText w:val="%1.%2"/>
      <w:lvlJc w:val="left"/>
      <w:pPr>
        <w:tabs>
          <w:tab w:val="left" w:pos="780"/>
        </w:tabs>
        <w:ind w:left="780" w:hanging="360"/>
      </w:pPr>
      <w:rPr>
        <w:rFonts w:hint="default"/>
      </w:rPr>
    </w:lvl>
    <w:lvl w:ilvl="2" w:tentative="0">
      <w:start w:val="1"/>
      <w:numFmt w:val="decimal"/>
      <w:lvlText w:val="%1.%2.%3"/>
      <w:lvlJc w:val="left"/>
      <w:pPr>
        <w:tabs>
          <w:tab w:val="left" w:pos="1560"/>
        </w:tabs>
        <w:ind w:left="1560" w:hanging="720"/>
      </w:pPr>
      <w:rPr>
        <w:rFonts w:hint="default"/>
      </w:rPr>
    </w:lvl>
    <w:lvl w:ilvl="3" w:tentative="0">
      <w:start w:val="1"/>
      <w:numFmt w:val="decimal"/>
      <w:lvlText w:val="%1.%2.%3.%4"/>
      <w:lvlJc w:val="left"/>
      <w:pPr>
        <w:tabs>
          <w:tab w:val="left" w:pos="1980"/>
        </w:tabs>
        <w:ind w:left="1980" w:hanging="720"/>
      </w:pPr>
      <w:rPr>
        <w:rFonts w:hint="default"/>
      </w:rPr>
    </w:lvl>
    <w:lvl w:ilvl="4" w:tentative="0">
      <w:start w:val="1"/>
      <w:numFmt w:val="decimal"/>
      <w:lvlText w:val="%1.%2.%3.%4.%5"/>
      <w:lvlJc w:val="left"/>
      <w:pPr>
        <w:tabs>
          <w:tab w:val="left" w:pos="2760"/>
        </w:tabs>
        <w:ind w:left="2760" w:hanging="1080"/>
      </w:pPr>
      <w:rPr>
        <w:rFonts w:hint="default"/>
      </w:rPr>
    </w:lvl>
    <w:lvl w:ilvl="5" w:tentative="0">
      <w:start w:val="1"/>
      <w:numFmt w:val="decimal"/>
      <w:lvlText w:val="%1.%2.%3.%4.%5.%6"/>
      <w:lvlJc w:val="left"/>
      <w:pPr>
        <w:tabs>
          <w:tab w:val="left" w:pos="3180"/>
        </w:tabs>
        <w:ind w:left="3180" w:hanging="1080"/>
      </w:pPr>
      <w:rPr>
        <w:rFonts w:hint="default"/>
      </w:rPr>
    </w:lvl>
    <w:lvl w:ilvl="6" w:tentative="0">
      <w:start w:val="1"/>
      <w:numFmt w:val="decimal"/>
      <w:lvlText w:val="%1.%2.%3.%4.%5.%6.%7"/>
      <w:lvlJc w:val="left"/>
      <w:pPr>
        <w:tabs>
          <w:tab w:val="left" w:pos="3600"/>
        </w:tabs>
        <w:ind w:left="3600" w:hanging="1080"/>
      </w:pPr>
      <w:rPr>
        <w:rFonts w:hint="default"/>
      </w:rPr>
    </w:lvl>
    <w:lvl w:ilvl="7" w:tentative="0">
      <w:start w:val="1"/>
      <w:numFmt w:val="decimal"/>
      <w:lvlText w:val="%1.%2.%3.%4.%5.%6.%7.%8"/>
      <w:lvlJc w:val="left"/>
      <w:pPr>
        <w:tabs>
          <w:tab w:val="left" w:pos="4380"/>
        </w:tabs>
        <w:ind w:left="4380" w:hanging="1440"/>
      </w:pPr>
      <w:rPr>
        <w:rFonts w:hint="default"/>
      </w:rPr>
    </w:lvl>
    <w:lvl w:ilvl="8" w:tentative="0">
      <w:start w:val="1"/>
      <w:numFmt w:val="decimal"/>
      <w:lvlText w:val="%1.%2.%3.%4.%5.%6.%7.%8.%9"/>
      <w:lvlJc w:val="left"/>
      <w:pPr>
        <w:tabs>
          <w:tab w:val="left" w:pos="4800"/>
        </w:tabs>
        <w:ind w:left="4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EC6167"/>
    <w:rsid w:val="0CEC6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2026-03-31T03:11:00Z</dcterms:created>
  <dc:creator>yxc</dc:creator>
  <cp:lastModifiedBy>yxc</cp:lastModifiedBy>
  <dcterms:modified xsi:type="dcterms:W3CDTF">2026-03-31T03:11:30Z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317F35535447485D947837C0AEADD360_11</vt:lpwstr>
  </property>
  <property fmtid="{D5CDD505-2E9C-101B-9397-08002B2CF9AE}" pid="4" name="KSOTemplateDocerSaveRecord">
    <vt:lpwstr>eyJoZGlkIjoiNTE5NDA3NWFiYjRlNzBhZjNiNTczOTk5ZTk3MjJhZmMiLCJ1c2VySWQiOiI2ODM1MDkxMzYifQ==</vt:lpwstr>
  </property>
</Properties>
</file>